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0C86E" w14:textId="40843D96" w:rsidR="00914CAC" w:rsidRPr="00BB28B0" w:rsidRDefault="00EF292A" w:rsidP="00EF29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552883" w:rsidRPr="00BB28B0">
        <w:rPr>
          <w:rFonts w:ascii="Times New Roman" w:hAnsi="Times New Roman" w:cs="Times New Roman"/>
          <w:b/>
          <w:sz w:val="24"/>
          <w:szCs w:val="24"/>
        </w:rPr>
        <w:t>As an adult, you have a stem cell population for skin, for blood and a few other cell types.  You have no stem cell population for your brain cells.  If the neurons that are your brain cells begin to die as happens in Alzheimer's or</w:t>
      </w:r>
      <w:bookmarkStart w:id="0" w:name="_GoBack"/>
      <w:bookmarkEnd w:id="0"/>
      <w:r w:rsidR="00552883" w:rsidRPr="00BB28B0">
        <w:rPr>
          <w:rFonts w:ascii="Times New Roman" w:hAnsi="Times New Roman" w:cs="Times New Roman"/>
          <w:b/>
          <w:sz w:val="24"/>
          <w:szCs w:val="24"/>
        </w:rPr>
        <w:t xml:space="preserve"> Parkinson's disease there are no cells to replace them.  Discuss where scientists might be able to get cells that can still become neurons and how they might use those cells to treat people with these conditions.</w:t>
      </w:r>
    </w:p>
    <w:p w14:paraId="2A85F39D" w14:textId="79DD6755"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Alzheimer’s and Parkinson’s diseases bring </w:t>
      </w:r>
      <w:r w:rsidR="006F1746" w:rsidRPr="00BB28B0">
        <w:rPr>
          <w:rFonts w:ascii="Times New Roman" w:hAnsi="Times New Roman" w:cs="Times New Roman"/>
          <w:sz w:val="24"/>
          <w:szCs w:val="24"/>
        </w:rPr>
        <w:t>about death to neurons in the brain, and with the brain unable to regenerate, the structural cells in the brain can be converted to perform the functions of the neurons</w:t>
      </w:r>
      <w:r w:rsidR="00A10F38"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76"/>
          <w:citation/>
        </w:sdtPr>
        <w:sdtEndPr/>
        <w:sdtContent>
          <w:r w:rsidR="00A10F38" w:rsidRPr="00BB28B0">
            <w:rPr>
              <w:rFonts w:ascii="Times New Roman" w:hAnsi="Times New Roman" w:cs="Times New Roman"/>
              <w:sz w:val="24"/>
              <w:szCs w:val="24"/>
            </w:rPr>
            <w:fldChar w:fldCharType="begin"/>
          </w:r>
          <w:r w:rsidR="00A10F38" w:rsidRPr="00BB28B0">
            <w:rPr>
              <w:rFonts w:ascii="Times New Roman" w:hAnsi="Times New Roman" w:cs="Times New Roman"/>
              <w:sz w:val="24"/>
              <w:szCs w:val="24"/>
            </w:rPr>
            <w:instrText xml:space="preserve"> CITATION Per17 \l 1033 </w:instrText>
          </w:r>
          <w:r w:rsidR="00A10F38" w:rsidRPr="00BB28B0">
            <w:rPr>
              <w:rFonts w:ascii="Times New Roman" w:hAnsi="Times New Roman" w:cs="Times New Roman"/>
              <w:sz w:val="24"/>
              <w:szCs w:val="24"/>
            </w:rPr>
            <w:fldChar w:fldCharType="separate"/>
          </w:r>
          <w:r w:rsidR="00A10F38" w:rsidRPr="00BB28B0">
            <w:rPr>
              <w:rFonts w:ascii="Times New Roman" w:hAnsi="Times New Roman" w:cs="Times New Roman"/>
              <w:noProof/>
              <w:sz w:val="24"/>
              <w:szCs w:val="24"/>
            </w:rPr>
            <w:t>(Pereira, et al., 2017)</w:t>
          </w:r>
          <w:r w:rsidR="00A10F38" w:rsidRPr="00BB28B0">
            <w:rPr>
              <w:rFonts w:ascii="Times New Roman" w:hAnsi="Times New Roman" w:cs="Times New Roman"/>
              <w:sz w:val="24"/>
              <w:szCs w:val="24"/>
            </w:rPr>
            <w:fldChar w:fldCharType="end"/>
          </w:r>
        </w:sdtContent>
      </w:sdt>
      <w:r w:rsidR="006F1746" w:rsidRPr="00BB28B0">
        <w:rPr>
          <w:rFonts w:ascii="Times New Roman" w:hAnsi="Times New Roman" w:cs="Times New Roman"/>
          <w:sz w:val="24"/>
          <w:szCs w:val="24"/>
        </w:rPr>
        <w:t>. The structural cells in questions are called NG2 Glia</w:t>
      </w:r>
      <w:r w:rsidR="00A10F38" w:rsidRPr="00BB28B0">
        <w:rPr>
          <w:rFonts w:ascii="Times New Roman" w:hAnsi="Times New Roman" w:cs="Times New Roman"/>
          <w:sz w:val="24"/>
          <w:szCs w:val="24"/>
        </w:rPr>
        <w:t xml:space="preserve"> and have a critical function of supplying the brain with nutrients and the maintenance of its physical structure</w:t>
      </w:r>
      <w:r w:rsidR="00687049"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78"/>
          <w:citation/>
        </w:sdtPr>
        <w:sdtEndPr/>
        <w:sdtContent>
          <w:r w:rsidR="00687049" w:rsidRPr="00BB28B0">
            <w:rPr>
              <w:rFonts w:ascii="Times New Roman" w:hAnsi="Times New Roman" w:cs="Times New Roman"/>
              <w:sz w:val="24"/>
              <w:szCs w:val="24"/>
            </w:rPr>
            <w:fldChar w:fldCharType="begin"/>
          </w:r>
          <w:r w:rsidR="00687049" w:rsidRPr="00BB28B0">
            <w:rPr>
              <w:rFonts w:ascii="Times New Roman" w:hAnsi="Times New Roman" w:cs="Times New Roman"/>
              <w:sz w:val="24"/>
              <w:szCs w:val="24"/>
            </w:rPr>
            <w:instrText xml:space="preserve"> CITATION Sai \l 1033  </w:instrText>
          </w:r>
          <w:r w:rsidR="00687049" w:rsidRPr="00BB28B0">
            <w:rPr>
              <w:rFonts w:ascii="Times New Roman" w:hAnsi="Times New Roman" w:cs="Times New Roman"/>
              <w:sz w:val="24"/>
              <w:szCs w:val="24"/>
            </w:rPr>
            <w:fldChar w:fldCharType="separate"/>
          </w:r>
          <w:r w:rsidR="00687049" w:rsidRPr="00BB28B0">
            <w:rPr>
              <w:rFonts w:ascii="Times New Roman" w:hAnsi="Times New Roman" w:cs="Times New Roman"/>
              <w:noProof/>
              <w:sz w:val="24"/>
              <w:szCs w:val="24"/>
            </w:rPr>
            <w:t>(Nizhor, Khan, &amp; Neelotpol, 2018)</w:t>
          </w:r>
          <w:r w:rsidR="00687049" w:rsidRPr="00BB28B0">
            <w:rPr>
              <w:rFonts w:ascii="Times New Roman" w:hAnsi="Times New Roman" w:cs="Times New Roman"/>
              <w:sz w:val="24"/>
              <w:szCs w:val="24"/>
            </w:rPr>
            <w:fldChar w:fldCharType="end"/>
          </w:r>
        </w:sdtContent>
      </w:sdt>
      <w:r w:rsidR="006F1746" w:rsidRPr="00BB28B0">
        <w:rPr>
          <w:rFonts w:ascii="Times New Roman" w:hAnsi="Times New Roman" w:cs="Times New Roman"/>
          <w:sz w:val="24"/>
          <w:szCs w:val="24"/>
        </w:rPr>
        <w:t xml:space="preserve">. Their conversion involves the injection of a short genetic code that alters the formation of NG2 cells and facilitates its conversion into neurons. The injection is done via a virus in vivo in which the genetic code is attached. The converted cells have the capability of receiving </w:t>
      </w:r>
      <w:r w:rsidR="00A10F38" w:rsidRPr="00BB28B0">
        <w:rPr>
          <w:rFonts w:ascii="Times New Roman" w:hAnsi="Times New Roman" w:cs="Times New Roman"/>
          <w:sz w:val="24"/>
          <w:szCs w:val="24"/>
        </w:rPr>
        <w:t xml:space="preserve">and sending </w:t>
      </w:r>
      <w:r w:rsidR="006F1746" w:rsidRPr="00BB28B0">
        <w:rPr>
          <w:rFonts w:ascii="Times New Roman" w:hAnsi="Times New Roman" w:cs="Times New Roman"/>
          <w:sz w:val="24"/>
          <w:szCs w:val="24"/>
        </w:rPr>
        <w:t>signals</w:t>
      </w:r>
      <w:r w:rsidR="00A10F38" w:rsidRPr="00BB28B0">
        <w:rPr>
          <w:rFonts w:ascii="Times New Roman" w:hAnsi="Times New Roman" w:cs="Times New Roman"/>
          <w:sz w:val="24"/>
          <w:szCs w:val="24"/>
        </w:rPr>
        <w:t xml:space="preserve"> from the damaged part of the brain</w:t>
      </w:r>
      <w:r w:rsidR="006F1746" w:rsidRPr="00BB28B0">
        <w:rPr>
          <w:rFonts w:ascii="Times New Roman" w:hAnsi="Times New Roman" w:cs="Times New Roman"/>
          <w:sz w:val="24"/>
          <w:szCs w:val="24"/>
        </w:rPr>
        <w:t xml:space="preserve"> and are thus functioning neurons</w:t>
      </w:r>
      <w:r w:rsidR="00A10F38" w:rsidRPr="00BB28B0">
        <w:rPr>
          <w:rFonts w:ascii="Times New Roman" w:hAnsi="Times New Roman" w:cs="Times New Roman"/>
          <w:sz w:val="24"/>
          <w:szCs w:val="24"/>
        </w:rPr>
        <w:t xml:space="preserve"> over time</w:t>
      </w:r>
      <w:r w:rsidR="006F1746" w:rsidRPr="00BB28B0">
        <w:rPr>
          <w:rFonts w:ascii="Times New Roman" w:hAnsi="Times New Roman" w:cs="Times New Roman"/>
          <w:sz w:val="24"/>
          <w:szCs w:val="24"/>
        </w:rPr>
        <w:t xml:space="preserve">. </w:t>
      </w:r>
      <w:r w:rsidR="00A10F38" w:rsidRPr="00BB28B0">
        <w:rPr>
          <w:rFonts w:ascii="Times New Roman" w:hAnsi="Times New Roman" w:cs="Times New Roman"/>
          <w:sz w:val="24"/>
          <w:szCs w:val="24"/>
        </w:rPr>
        <w:t xml:space="preserve">The regeneration allows for signals including memory circuits and relaying of motor and sensory responses. Given that the NG2 cells are already within the system of the host, there is a </w:t>
      </w:r>
      <w:r w:rsidR="00BF0F69" w:rsidRPr="00BB28B0">
        <w:rPr>
          <w:rFonts w:ascii="Times New Roman" w:hAnsi="Times New Roman" w:cs="Times New Roman"/>
          <w:sz w:val="24"/>
          <w:szCs w:val="24"/>
        </w:rPr>
        <w:t>much-reduced</w:t>
      </w:r>
      <w:r w:rsidR="00A10F38" w:rsidRPr="00BB28B0">
        <w:rPr>
          <w:rFonts w:ascii="Times New Roman" w:hAnsi="Times New Roman" w:cs="Times New Roman"/>
          <w:sz w:val="24"/>
          <w:szCs w:val="24"/>
        </w:rPr>
        <w:t xml:space="preserve"> risk of rejection and other complications accompanied by cell regener</w:t>
      </w:r>
      <w:r w:rsidR="00F831EF" w:rsidRPr="00BB28B0">
        <w:rPr>
          <w:rFonts w:ascii="Times New Roman" w:hAnsi="Times New Roman" w:cs="Times New Roman"/>
          <w:sz w:val="24"/>
          <w:szCs w:val="24"/>
        </w:rPr>
        <w:t>ation.</w:t>
      </w:r>
    </w:p>
    <w:p w14:paraId="6FDF9BBC" w14:textId="77777777" w:rsidR="00F831EF"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Placebo infusions or GDNF infusions are applicable for such treatment regimens. Neurosurgery is more effective and the use of robot-assisted surgery procedure is effective in administering a designed delivery system which will enable a high flow rate for a designed period of time</w:t>
      </w:r>
      <w:r w:rsidR="00C772F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0"/>
          <w:citation/>
        </w:sdtPr>
        <w:sdtEndPr/>
        <w:sdtContent>
          <w:r w:rsidR="00C772F0" w:rsidRPr="00BB28B0">
            <w:rPr>
              <w:rFonts w:ascii="Times New Roman" w:hAnsi="Times New Roman" w:cs="Times New Roman"/>
              <w:sz w:val="24"/>
              <w:szCs w:val="24"/>
            </w:rPr>
            <w:fldChar w:fldCharType="begin"/>
          </w:r>
          <w:r w:rsidR="00C772F0" w:rsidRPr="00BB28B0">
            <w:rPr>
              <w:rFonts w:ascii="Times New Roman" w:hAnsi="Times New Roman" w:cs="Times New Roman"/>
              <w:sz w:val="24"/>
              <w:szCs w:val="24"/>
            </w:rPr>
            <w:instrText xml:space="preserve"> CITATION LuJ15 \l 1033 </w:instrText>
          </w:r>
          <w:r w:rsidR="00C772F0" w:rsidRPr="00BB28B0">
            <w:rPr>
              <w:rFonts w:ascii="Times New Roman" w:hAnsi="Times New Roman" w:cs="Times New Roman"/>
              <w:sz w:val="24"/>
              <w:szCs w:val="24"/>
            </w:rPr>
            <w:fldChar w:fldCharType="separate"/>
          </w:r>
          <w:r w:rsidR="00C772F0" w:rsidRPr="00BB28B0">
            <w:rPr>
              <w:rFonts w:ascii="Times New Roman" w:hAnsi="Times New Roman" w:cs="Times New Roman"/>
              <w:noProof/>
              <w:sz w:val="24"/>
              <w:szCs w:val="24"/>
            </w:rPr>
            <w:t>(Lu, Bradley, &amp; Zhang, 2015)</w:t>
          </w:r>
          <w:r w:rsidR="00C772F0"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 xml:space="preserve">. </w:t>
      </w:r>
      <w:r w:rsidR="0047695F" w:rsidRPr="00BB28B0">
        <w:rPr>
          <w:rFonts w:ascii="Times New Roman" w:hAnsi="Times New Roman" w:cs="Times New Roman"/>
          <w:sz w:val="24"/>
          <w:szCs w:val="24"/>
        </w:rPr>
        <w:t xml:space="preserve">The infusions of the NeuroD1 retrovirus requires to pinpoint accuracy to </w:t>
      </w:r>
      <w:r w:rsidR="00C772F0" w:rsidRPr="00BB28B0">
        <w:rPr>
          <w:rFonts w:ascii="Times New Roman" w:hAnsi="Times New Roman" w:cs="Times New Roman"/>
          <w:sz w:val="24"/>
          <w:szCs w:val="24"/>
        </w:rPr>
        <w:t>cortical</w:t>
      </w:r>
      <w:r w:rsidR="0047695F" w:rsidRPr="00BB28B0">
        <w:rPr>
          <w:rFonts w:ascii="Times New Roman" w:hAnsi="Times New Roman" w:cs="Times New Roman"/>
          <w:sz w:val="24"/>
          <w:szCs w:val="24"/>
        </w:rPr>
        <w:t xml:space="preserve"> brain area</w:t>
      </w:r>
      <w:r w:rsidR="00C772F0" w:rsidRPr="00BB28B0">
        <w:rPr>
          <w:rFonts w:ascii="Times New Roman" w:hAnsi="Times New Roman" w:cs="Times New Roman"/>
          <w:sz w:val="24"/>
          <w:szCs w:val="24"/>
        </w:rPr>
        <w:t>s</w:t>
      </w:r>
      <w:r w:rsidR="0047695F" w:rsidRPr="00BB28B0">
        <w:rPr>
          <w:rFonts w:ascii="Times New Roman" w:hAnsi="Times New Roman" w:cs="Times New Roman"/>
          <w:sz w:val="24"/>
          <w:szCs w:val="24"/>
        </w:rPr>
        <w:t>, which is crucial since the natural protective barrier of the brain prohibits the drugs from crossing from the bloodstreams to the brain</w:t>
      </w:r>
      <w:r w:rsidR="00C772F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1"/>
          <w:citation/>
        </w:sdtPr>
        <w:sdtEndPr/>
        <w:sdtContent>
          <w:r w:rsidR="00C772F0" w:rsidRPr="00BB28B0">
            <w:rPr>
              <w:rFonts w:ascii="Times New Roman" w:hAnsi="Times New Roman" w:cs="Times New Roman"/>
              <w:sz w:val="24"/>
              <w:szCs w:val="24"/>
            </w:rPr>
            <w:fldChar w:fldCharType="begin"/>
          </w:r>
          <w:r w:rsidR="00C772F0" w:rsidRPr="00BB28B0">
            <w:rPr>
              <w:rFonts w:ascii="Times New Roman" w:hAnsi="Times New Roman" w:cs="Times New Roman"/>
              <w:sz w:val="24"/>
              <w:szCs w:val="24"/>
            </w:rPr>
            <w:instrText xml:space="preserve"> CITATION Guo14 \l 1033 </w:instrText>
          </w:r>
          <w:r w:rsidR="00C772F0" w:rsidRPr="00BB28B0">
            <w:rPr>
              <w:rFonts w:ascii="Times New Roman" w:hAnsi="Times New Roman" w:cs="Times New Roman"/>
              <w:sz w:val="24"/>
              <w:szCs w:val="24"/>
            </w:rPr>
            <w:fldChar w:fldCharType="separate"/>
          </w:r>
          <w:r w:rsidR="00C772F0" w:rsidRPr="00BB28B0">
            <w:rPr>
              <w:rFonts w:ascii="Times New Roman" w:hAnsi="Times New Roman" w:cs="Times New Roman"/>
              <w:noProof/>
              <w:sz w:val="24"/>
              <w:szCs w:val="24"/>
            </w:rPr>
            <w:t xml:space="preserve">(Guo, Zhang, Wu, </w:t>
          </w:r>
          <w:r w:rsidR="00C772F0" w:rsidRPr="00BB28B0">
            <w:rPr>
              <w:rFonts w:ascii="Times New Roman" w:hAnsi="Times New Roman" w:cs="Times New Roman"/>
              <w:noProof/>
              <w:sz w:val="24"/>
              <w:szCs w:val="24"/>
            </w:rPr>
            <w:lastRenderedPageBreak/>
            <w:t>Chen, Wang, &amp; Chen, 2014)</w:t>
          </w:r>
          <w:r w:rsidR="00C772F0" w:rsidRPr="00BB28B0">
            <w:rPr>
              <w:rFonts w:ascii="Times New Roman" w:hAnsi="Times New Roman" w:cs="Times New Roman"/>
              <w:sz w:val="24"/>
              <w:szCs w:val="24"/>
            </w:rPr>
            <w:fldChar w:fldCharType="end"/>
          </w:r>
        </w:sdtContent>
      </w:sdt>
      <w:r w:rsidR="0047695F" w:rsidRPr="00BB28B0">
        <w:rPr>
          <w:rFonts w:ascii="Times New Roman" w:hAnsi="Times New Roman" w:cs="Times New Roman"/>
          <w:sz w:val="24"/>
          <w:szCs w:val="24"/>
        </w:rPr>
        <w:t xml:space="preserve">. </w:t>
      </w:r>
      <w:r w:rsidR="00C772F0" w:rsidRPr="00BB28B0">
        <w:rPr>
          <w:rFonts w:ascii="Times New Roman" w:hAnsi="Times New Roman" w:cs="Times New Roman"/>
          <w:sz w:val="24"/>
          <w:szCs w:val="24"/>
        </w:rPr>
        <w:t>I</w:t>
      </w:r>
      <w:r w:rsidR="0047695F" w:rsidRPr="00BB28B0">
        <w:rPr>
          <w:rFonts w:ascii="Times New Roman" w:hAnsi="Times New Roman" w:cs="Times New Roman"/>
          <w:sz w:val="24"/>
          <w:szCs w:val="24"/>
        </w:rPr>
        <w:t>t is fundamental to avoid targeting neural progenitors, by avoiding the sub-ventricular zone and the hippocampus. The NG2 converts into neurons after three days of post-viral infection.</w:t>
      </w:r>
    </w:p>
    <w:p w14:paraId="706662FF" w14:textId="29216D7E" w:rsidR="00914CAC" w:rsidRPr="00BB28B0" w:rsidRDefault="00F33F69" w:rsidP="00F33F69">
      <w:pPr>
        <w:pStyle w:val="Normal1"/>
        <w:spacing w:line="480" w:lineRule="auto"/>
        <w:rPr>
          <w:rFonts w:ascii="Times New Roman" w:hAnsi="Times New Roman" w:cs="Times New Roman"/>
          <w:b/>
          <w:sz w:val="24"/>
          <w:szCs w:val="24"/>
        </w:rPr>
      </w:pPr>
      <w:r>
        <w:rPr>
          <w:rFonts w:ascii="Times New Roman" w:hAnsi="Times New Roman" w:cs="Times New Roman"/>
          <w:b/>
          <w:sz w:val="24"/>
          <w:szCs w:val="24"/>
        </w:rPr>
        <w:t>2.</w:t>
      </w:r>
      <w:r w:rsidR="00552883" w:rsidRPr="00BB28B0">
        <w:rPr>
          <w:rFonts w:ascii="Times New Roman" w:hAnsi="Times New Roman" w:cs="Times New Roman"/>
          <w:b/>
          <w:sz w:val="24"/>
          <w:szCs w:val="24"/>
        </w:rPr>
        <w:t>The following segment of DNA is a portion of the middle of a gene sequence</w:t>
      </w:r>
    </w:p>
    <w:p w14:paraId="22F0B977"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AAAGCCAGCTATCCC</w:t>
      </w:r>
    </w:p>
    <w:p w14:paraId="0807C235"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TTTCGGTCGATAGGG</w:t>
      </w:r>
    </w:p>
    <w:p w14:paraId="2CB212AB"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Write the messenger RNA that would be made from this sequence using the top strand as the template for the RNA. </w:t>
      </w:r>
    </w:p>
    <w:p w14:paraId="4682F26D" w14:textId="77777777" w:rsidR="00C629F5"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Using the top strand as the template for the RNA and the bottom as the coding strand for the DNA, the messenger RNA sequence would be transcribed to form </w:t>
      </w:r>
      <w:sdt>
        <w:sdtPr>
          <w:rPr>
            <w:rFonts w:ascii="Times New Roman" w:hAnsi="Times New Roman" w:cs="Times New Roman"/>
            <w:sz w:val="24"/>
            <w:szCs w:val="24"/>
          </w:rPr>
          <w:id w:val="87464882"/>
          <w:citation/>
        </w:sdtPr>
        <w:sdtEndPr/>
        <w:sdtContent>
          <w:r w:rsidRPr="00BB28B0">
            <w:rPr>
              <w:rFonts w:ascii="Times New Roman" w:hAnsi="Times New Roman" w:cs="Times New Roman"/>
              <w:sz w:val="24"/>
              <w:szCs w:val="24"/>
            </w:rPr>
            <w:fldChar w:fldCharType="begin"/>
          </w:r>
          <w:r w:rsidRPr="00BB28B0">
            <w:rPr>
              <w:rFonts w:ascii="Times New Roman" w:hAnsi="Times New Roman" w:cs="Times New Roman"/>
              <w:sz w:val="24"/>
              <w:szCs w:val="24"/>
            </w:rPr>
            <w:instrText xml:space="preserve"> CITATION Ber16 \l 1033 </w:instrText>
          </w:r>
          <w:r w:rsidRPr="00BB28B0">
            <w:rPr>
              <w:rFonts w:ascii="Times New Roman" w:hAnsi="Times New Roman" w:cs="Times New Roman"/>
              <w:sz w:val="24"/>
              <w:szCs w:val="24"/>
            </w:rPr>
            <w:fldChar w:fldCharType="separate"/>
          </w:r>
          <w:r w:rsidRPr="00BB28B0">
            <w:rPr>
              <w:rFonts w:ascii="Times New Roman" w:hAnsi="Times New Roman" w:cs="Times New Roman"/>
              <w:noProof/>
              <w:sz w:val="24"/>
              <w:szCs w:val="24"/>
            </w:rPr>
            <w:t>(Bernecky, Herzog, Baumeister, Plitzko, &amp; Cramer, 2016)</w:t>
          </w:r>
          <w:r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w:t>
      </w:r>
      <w:r w:rsidR="001A5691" w:rsidRPr="00BB28B0">
        <w:rPr>
          <w:rFonts w:ascii="Times New Roman" w:hAnsi="Times New Roman" w:cs="Times New Roman"/>
          <w:sz w:val="24"/>
          <w:szCs w:val="24"/>
        </w:rPr>
        <w:t xml:space="preserve"> </w:t>
      </w:r>
      <w:r w:rsidR="007408EC" w:rsidRPr="00BB28B0">
        <w:rPr>
          <w:rFonts w:ascii="Times New Roman" w:hAnsi="Times New Roman" w:cs="Times New Roman"/>
          <w:sz w:val="24"/>
          <w:szCs w:val="24"/>
        </w:rPr>
        <w:t>UUU</w:t>
      </w:r>
      <w:r w:rsidRPr="00BB28B0">
        <w:rPr>
          <w:rFonts w:ascii="Times New Roman" w:hAnsi="Times New Roman" w:cs="Times New Roman"/>
          <w:sz w:val="24"/>
          <w:szCs w:val="24"/>
        </w:rPr>
        <w:t>CGGUCGAUAGGG</w:t>
      </w:r>
    </w:p>
    <w:p w14:paraId="289B244E"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Now using the genetic code write the five amino acids coded for by this mRNA</w:t>
      </w:r>
    </w:p>
    <w:p w14:paraId="62CC7C9B"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messenger RNA is single-stranded and their bases are A, U, C, and G, and the mRNA provides an order in which the amino acids should be added in the synthesis of the protein in question. Translation of the mRNA into amino acids takes three consecutive bases, which form a nucleotide sequence representative of single amino acid. The nucleotide sequence UAA, however, is a signal to stop translating the protein sequence and is referred to as the stop codon. In the sequence above, the different sets of amino acids are represented by UUU, CGG, UGC, AUA, and GGG. The sequences represent Phenylalanine, Arginine, Serine, Isoleucine, and Glycine respectively. </w:t>
      </w:r>
    </w:p>
    <w:p w14:paraId="59D52FF5"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If a person had a mutation that changed the very first base pair so that it read</w:t>
      </w:r>
    </w:p>
    <w:p w14:paraId="629DA830"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GAAGCCAGCTATCCC</w:t>
      </w:r>
    </w:p>
    <w:p w14:paraId="554A1FA4"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CTTCGGTCGATAGGG</w:t>
      </w:r>
    </w:p>
    <w:p w14:paraId="17ACA721"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lastRenderedPageBreak/>
        <w:t>Would the amino acids put together by that mRNA be the same?</w:t>
      </w:r>
    </w:p>
    <w:p w14:paraId="55945A94"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mutation would change the transcription of the DNA to form a messenger RNA with the sequence CUUCGGUCGAUAGGG. The transcription would give the sequence of the amino acids to differ forming nucleotide sequences of CUU, CGG, UGC, AUA, and GGG.</w:t>
      </w:r>
    </w:p>
    <w:p w14:paraId="3763C572"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Which amino acid would be different?</w:t>
      </w:r>
    </w:p>
    <w:p w14:paraId="099A6C8D"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only nucleotide sequence that does not match in the messenger RNA sequence is the first. The original amino acid from the first sequence was Phenylalanine, but due to the mutation, it changed to Leucine. </w:t>
      </w:r>
    </w:p>
    <w:p w14:paraId="0443114D"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The above example shows why mutations matter but in the next section we will look at the fact that mutations happen all the time and yet we are a relatively healthy, long-lived organism.  Part of this is explained by the genetic code.  If you look at it in detail there are multiple three-nucleotide combinations that will insert the same amino acid.  UUA, UUG, CUU, CUC, CUA, CUG  all place leucine in the protein.  It is, therefore, possible, even likely, that you can change a base pair in the DNA and still make the same protein.  Since is the protein that matters these mutations will not have an effect on the organism.  As the final step in the written assignment above make a change in the DNA strand that will NOT affect the protein made and tell me why. </w:t>
      </w:r>
    </w:p>
    <w:p w14:paraId="1BFB73AB" w14:textId="77777777" w:rsidR="005336C5"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original DNA strand was transcribed to form the mRNA sequence UUUCGGUCGAUAGGG. Translation of this sequence formed the amino acids in the order Phenylalanine, Arginine, Serine, Isoleucine, and Glycine. To create a mutation that did not change the amino acids and the order in which they are added to form the protein will require consideration such that different sequences of amino acids still produced the same amino acids. </w:t>
      </w:r>
      <w:r w:rsidRPr="00BB28B0">
        <w:rPr>
          <w:rFonts w:ascii="Times New Roman" w:hAnsi="Times New Roman" w:cs="Times New Roman"/>
          <w:sz w:val="24"/>
          <w:szCs w:val="24"/>
        </w:rPr>
        <w:lastRenderedPageBreak/>
        <w:t>The order in which the amino acids are added into the synthesis is critical to the retention of the protein formed and hence the order should be retained</w:t>
      </w:r>
      <w:r w:rsidR="00BB28B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3"/>
          <w:citation/>
        </w:sdtPr>
        <w:sdtEndPr/>
        <w:sdtContent>
          <w:r w:rsidR="00BB28B0" w:rsidRPr="00BB28B0">
            <w:rPr>
              <w:rFonts w:ascii="Times New Roman" w:hAnsi="Times New Roman" w:cs="Times New Roman"/>
              <w:sz w:val="24"/>
              <w:szCs w:val="24"/>
            </w:rPr>
            <w:fldChar w:fldCharType="begin"/>
          </w:r>
          <w:r w:rsidR="00BB28B0" w:rsidRPr="00BB28B0">
            <w:rPr>
              <w:rFonts w:ascii="Times New Roman" w:hAnsi="Times New Roman" w:cs="Times New Roman"/>
              <w:sz w:val="24"/>
              <w:szCs w:val="24"/>
            </w:rPr>
            <w:instrText xml:space="preserve"> CITATION WuB16 \l 1033 </w:instrText>
          </w:r>
          <w:r w:rsidR="00BB28B0" w:rsidRPr="00BB28B0">
            <w:rPr>
              <w:rFonts w:ascii="Times New Roman" w:hAnsi="Times New Roman" w:cs="Times New Roman"/>
              <w:sz w:val="24"/>
              <w:szCs w:val="24"/>
            </w:rPr>
            <w:fldChar w:fldCharType="separate"/>
          </w:r>
          <w:r w:rsidR="00BB28B0" w:rsidRPr="00BB28B0">
            <w:rPr>
              <w:rFonts w:ascii="Times New Roman" w:hAnsi="Times New Roman" w:cs="Times New Roman"/>
              <w:noProof/>
              <w:sz w:val="24"/>
              <w:szCs w:val="24"/>
            </w:rPr>
            <w:t>(Wu, Eliscovich, Yoon, &amp; Singer, 2016)</w:t>
          </w:r>
          <w:r w:rsidR="00BB28B0"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 Phenylalanine in our mRNA sequence was formed by the nucleotide sequence UUU, but the sequence UUC also results in the same. The formation or Arginine can also take the sequence AGG, while Serine formed by AGU, Isoleucine formed by AUC, and Glycine formed by the sequence GGU. The order of the mRNA thus follows the sequence UUCAGGAGUAUCGGU which corresponds to the DNA sequence</w:t>
      </w:r>
      <w:r w:rsidR="00BB28B0" w:rsidRPr="00BB28B0">
        <w:rPr>
          <w:rFonts w:ascii="Times New Roman" w:hAnsi="Times New Roman" w:cs="Times New Roman"/>
          <w:sz w:val="24"/>
          <w:szCs w:val="24"/>
        </w:rPr>
        <w:t xml:space="preserve"> where the top strand is the template for the RNA</w:t>
      </w:r>
      <w:r w:rsidRPr="00BB28B0">
        <w:rPr>
          <w:rFonts w:ascii="Times New Roman" w:hAnsi="Times New Roman" w:cs="Times New Roman"/>
          <w:sz w:val="24"/>
          <w:szCs w:val="24"/>
        </w:rPr>
        <w:t>:</w:t>
      </w:r>
    </w:p>
    <w:p w14:paraId="18911F8B" w14:textId="77777777" w:rsidR="00BB28B0"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AAAGCCAGCTATCCC</w:t>
      </w:r>
    </w:p>
    <w:p w14:paraId="1273E8B9" w14:textId="77777777" w:rsidR="00BB28B0"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TTTCGGTCGATAGGG</w:t>
      </w:r>
    </w:p>
    <w:p w14:paraId="03B3B0CA" w14:textId="1CEAB38B" w:rsidR="00BB28B0" w:rsidRDefault="00BB28B0" w:rsidP="00BB28B0">
      <w:pPr>
        <w:spacing w:line="480" w:lineRule="auto"/>
        <w:rPr>
          <w:rFonts w:ascii="Times New Roman" w:hAnsi="Times New Roman" w:cs="Times New Roman"/>
          <w:b/>
          <w:sz w:val="24"/>
          <w:szCs w:val="24"/>
        </w:rPr>
      </w:pPr>
    </w:p>
    <w:sectPr w:rsidR="00BB28B0" w:rsidSect="00BB28B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F0CD5" w14:textId="77777777" w:rsidR="004D4459" w:rsidRDefault="004D4459">
      <w:pPr>
        <w:spacing w:line="240" w:lineRule="auto"/>
      </w:pPr>
      <w:r>
        <w:separator/>
      </w:r>
    </w:p>
  </w:endnote>
  <w:endnote w:type="continuationSeparator" w:id="0">
    <w:p w14:paraId="2A7513FB" w14:textId="77777777" w:rsidR="004D4459" w:rsidRDefault="004D44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3E5BE" w14:textId="77777777" w:rsidR="004D4459" w:rsidRDefault="004D4459">
      <w:pPr>
        <w:spacing w:line="240" w:lineRule="auto"/>
      </w:pPr>
      <w:r>
        <w:separator/>
      </w:r>
    </w:p>
  </w:footnote>
  <w:footnote w:type="continuationSeparator" w:id="0">
    <w:p w14:paraId="23360EC6" w14:textId="77777777" w:rsidR="004D4459" w:rsidRDefault="004D445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278FC"/>
    <w:multiLevelType w:val="hybridMultilevel"/>
    <w:tmpl w:val="B85C51B4"/>
    <w:lvl w:ilvl="0" w:tplc="D53E5E8E">
      <w:start w:val="1"/>
      <w:numFmt w:val="decimal"/>
      <w:lvlText w:val="%1."/>
      <w:lvlJc w:val="left"/>
      <w:pPr>
        <w:ind w:left="360" w:hanging="360"/>
      </w:pPr>
      <w:rPr>
        <w:rFonts w:hint="default"/>
      </w:rPr>
    </w:lvl>
    <w:lvl w:ilvl="1" w:tplc="FB906282" w:tentative="1">
      <w:start w:val="1"/>
      <w:numFmt w:val="lowerLetter"/>
      <w:lvlText w:val="%2."/>
      <w:lvlJc w:val="left"/>
      <w:pPr>
        <w:ind w:left="1080" w:hanging="360"/>
      </w:pPr>
    </w:lvl>
    <w:lvl w:ilvl="2" w:tplc="71F2AFAE" w:tentative="1">
      <w:start w:val="1"/>
      <w:numFmt w:val="lowerRoman"/>
      <w:lvlText w:val="%3."/>
      <w:lvlJc w:val="right"/>
      <w:pPr>
        <w:ind w:left="1800" w:hanging="180"/>
      </w:pPr>
    </w:lvl>
    <w:lvl w:ilvl="3" w:tplc="30F2128C" w:tentative="1">
      <w:start w:val="1"/>
      <w:numFmt w:val="decimal"/>
      <w:lvlText w:val="%4."/>
      <w:lvlJc w:val="left"/>
      <w:pPr>
        <w:ind w:left="2520" w:hanging="360"/>
      </w:pPr>
    </w:lvl>
    <w:lvl w:ilvl="4" w:tplc="F404D2BA" w:tentative="1">
      <w:start w:val="1"/>
      <w:numFmt w:val="lowerLetter"/>
      <w:lvlText w:val="%5."/>
      <w:lvlJc w:val="left"/>
      <w:pPr>
        <w:ind w:left="3240" w:hanging="360"/>
      </w:pPr>
    </w:lvl>
    <w:lvl w:ilvl="5" w:tplc="AE8A5E74" w:tentative="1">
      <w:start w:val="1"/>
      <w:numFmt w:val="lowerRoman"/>
      <w:lvlText w:val="%6."/>
      <w:lvlJc w:val="right"/>
      <w:pPr>
        <w:ind w:left="3960" w:hanging="180"/>
      </w:pPr>
    </w:lvl>
    <w:lvl w:ilvl="6" w:tplc="16E2539E" w:tentative="1">
      <w:start w:val="1"/>
      <w:numFmt w:val="decimal"/>
      <w:lvlText w:val="%7."/>
      <w:lvlJc w:val="left"/>
      <w:pPr>
        <w:ind w:left="4680" w:hanging="360"/>
      </w:pPr>
    </w:lvl>
    <w:lvl w:ilvl="7" w:tplc="43EAE606" w:tentative="1">
      <w:start w:val="1"/>
      <w:numFmt w:val="lowerLetter"/>
      <w:lvlText w:val="%8."/>
      <w:lvlJc w:val="left"/>
      <w:pPr>
        <w:ind w:left="5400" w:hanging="360"/>
      </w:pPr>
    </w:lvl>
    <w:lvl w:ilvl="8" w:tplc="02EC973E" w:tentative="1">
      <w:start w:val="1"/>
      <w:numFmt w:val="lowerRoman"/>
      <w:lvlText w:val="%9."/>
      <w:lvlJc w:val="right"/>
      <w:pPr>
        <w:ind w:left="6120" w:hanging="180"/>
      </w:pPr>
    </w:lvl>
  </w:abstractNum>
  <w:abstractNum w:abstractNumId="1" w15:restartNumberingAfterBreak="0">
    <w:nsid w:val="4D062FB1"/>
    <w:multiLevelType w:val="hybridMultilevel"/>
    <w:tmpl w:val="16E6F02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B660E"/>
    <w:multiLevelType w:val="hybridMultilevel"/>
    <w:tmpl w:val="9CA26920"/>
    <w:lvl w:ilvl="0" w:tplc="3676AE56">
      <w:start w:val="1"/>
      <w:numFmt w:val="lowerLetter"/>
      <w:lvlText w:val="%1)"/>
      <w:lvlJc w:val="left"/>
      <w:pPr>
        <w:ind w:left="720" w:hanging="360"/>
      </w:pPr>
      <w:rPr>
        <w:rFonts w:hint="default"/>
      </w:rPr>
    </w:lvl>
    <w:lvl w:ilvl="1" w:tplc="AE4E974E" w:tentative="1">
      <w:start w:val="1"/>
      <w:numFmt w:val="lowerLetter"/>
      <w:lvlText w:val="%2."/>
      <w:lvlJc w:val="left"/>
      <w:pPr>
        <w:ind w:left="1440" w:hanging="360"/>
      </w:pPr>
    </w:lvl>
    <w:lvl w:ilvl="2" w:tplc="F1700CA6" w:tentative="1">
      <w:start w:val="1"/>
      <w:numFmt w:val="lowerRoman"/>
      <w:lvlText w:val="%3."/>
      <w:lvlJc w:val="right"/>
      <w:pPr>
        <w:ind w:left="2160" w:hanging="180"/>
      </w:pPr>
    </w:lvl>
    <w:lvl w:ilvl="3" w:tplc="81A8A60E" w:tentative="1">
      <w:start w:val="1"/>
      <w:numFmt w:val="decimal"/>
      <w:lvlText w:val="%4."/>
      <w:lvlJc w:val="left"/>
      <w:pPr>
        <w:ind w:left="2880" w:hanging="360"/>
      </w:pPr>
    </w:lvl>
    <w:lvl w:ilvl="4" w:tplc="D1229A24" w:tentative="1">
      <w:start w:val="1"/>
      <w:numFmt w:val="lowerLetter"/>
      <w:lvlText w:val="%5."/>
      <w:lvlJc w:val="left"/>
      <w:pPr>
        <w:ind w:left="3600" w:hanging="360"/>
      </w:pPr>
    </w:lvl>
    <w:lvl w:ilvl="5" w:tplc="0726A722" w:tentative="1">
      <w:start w:val="1"/>
      <w:numFmt w:val="lowerRoman"/>
      <w:lvlText w:val="%6."/>
      <w:lvlJc w:val="right"/>
      <w:pPr>
        <w:ind w:left="4320" w:hanging="180"/>
      </w:pPr>
    </w:lvl>
    <w:lvl w:ilvl="6" w:tplc="5570240E" w:tentative="1">
      <w:start w:val="1"/>
      <w:numFmt w:val="decimal"/>
      <w:lvlText w:val="%7."/>
      <w:lvlJc w:val="left"/>
      <w:pPr>
        <w:ind w:left="5040" w:hanging="360"/>
      </w:pPr>
    </w:lvl>
    <w:lvl w:ilvl="7" w:tplc="ACB2D884" w:tentative="1">
      <w:start w:val="1"/>
      <w:numFmt w:val="lowerLetter"/>
      <w:lvlText w:val="%8."/>
      <w:lvlJc w:val="left"/>
      <w:pPr>
        <w:ind w:left="5760" w:hanging="360"/>
      </w:pPr>
    </w:lvl>
    <w:lvl w:ilvl="8" w:tplc="E7E6F9C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AC"/>
    <w:rsid w:val="00065762"/>
    <w:rsid w:val="001A5691"/>
    <w:rsid w:val="002D4955"/>
    <w:rsid w:val="0047695F"/>
    <w:rsid w:val="004D4459"/>
    <w:rsid w:val="005336C5"/>
    <w:rsid w:val="00552883"/>
    <w:rsid w:val="00687049"/>
    <w:rsid w:val="006F1746"/>
    <w:rsid w:val="007408EC"/>
    <w:rsid w:val="00777EA7"/>
    <w:rsid w:val="007801D6"/>
    <w:rsid w:val="007B11D3"/>
    <w:rsid w:val="007B616A"/>
    <w:rsid w:val="008D484B"/>
    <w:rsid w:val="00914CAC"/>
    <w:rsid w:val="00A10F38"/>
    <w:rsid w:val="00BB28B0"/>
    <w:rsid w:val="00BF0F69"/>
    <w:rsid w:val="00C629F5"/>
    <w:rsid w:val="00C772F0"/>
    <w:rsid w:val="00D2369F"/>
    <w:rsid w:val="00EF292A"/>
    <w:rsid w:val="00F33F69"/>
    <w:rsid w:val="00F83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E94F"/>
  <w15:docId w15:val="{5DAB7BA1-23EA-4440-9601-B0CE27EE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link w:val="Heading1Char"/>
    <w:uiPriority w:val="9"/>
    <w:qFormat/>
    <w:rsid w:val="00914CAC"/>
    <w:pPr>
      <w:keepNext/>
      <w:keepLines/>
      <w:spacing w:before="400" w:after="120"/>
      <w:outlineLvl w:val="0"/>
    </w:pPr>
    <w:rPr>
      <w:sz w:val="40"/>
      <w:szCs w:val="40"/>
    </w:rPr>
  </w:style>
  <w:style w:type="paragraph" w:styleId="Heading2">
    <w:name w:val="heading 2"/>
    <w:basedOn w:val="Normal1"/>
    <w:next w:val="Normal1"/>
    <w:rsid w:val="00914CAC"/>
    <w:pPr>
      <w:keepNext/>
      <w:keepLines/>
      <w:spacing w:before="360" w:after="120"/>
      <w:outlineLvl w:val="1"/>
    </w:pPr>
    <w:rPr>
      <w:sz w:val="32"/>
      <w:szCs w:val="32"/>
    </w:rPr>
  </w:style>
  <w:style w:type="paragraph" w:styleId="Heading3">
    <w:name w:val="heading 3"/>
    <w:basedOn w:val="Normal1"/>
    <w:next w:val="Normal1"/>
    <w:rsid w:val="00914CAC"/>
    <w:pPr>
      <w:keepNext/>
      <w:keepLines/>
      <w:spacing w:before="320" w:after="80"/>
      <w:outlineLvl w:val="2"/>
    </w:pPr>
    <w:rPr>
      <w:color w:val="434343"/>
      <w:sz w:val="28"/>
      <w:szCs w:val="28"/>
    </w:rPr>
  </w:style>
  <w:style w:type="paragraph" w:styleId="Heading4">
    <w:name w:val="heading 4"/>
    <w:basedOn w:val="Normal1"/>
    <w:next w:val="Normal1"/>
    <w:rsid w:val="00914CAC"/>
    <w:pPr>
      <w:keepNext/>
      <w:keepLines/>
      <w:spacing w:before="280" w:after="80"/>
      <w:outlineLvl w:val="3"/>
    </w:pPr>
    <w:rPr>
      <w:color w:val="666666"/>
      <w:sz w:val="24"/>
      <w:szCs w:val="24"/>
    </w:rPr>
  </w:style>
  <w:style w:type="paragraph" w:styleId="Heading5">
    <w:name w:val="heading 5"/>
    <w:basedOn w:val="Normal1"/>
    <w:next w:val="Normal1"/>
    <w:rsid w:val="00914CAC"/>
    <w:pPr>
      <w:keepNext/>
      <w:keepLines/>
      <w:spacing w:before="240" w:after="80"/>
      <w:outlineLvl w:val="4"/>
    </w:pPr>
    <w:rPr>
      <w:color w:val="666666"/>
    </w:rPr>
  </w:style>
  <w:style w:type="paragraph" w:styleId="Heading6">
    <w:name w:val="heading 6"/>
    <w:basedOn w:val="Normal1"/>
    <w:next w:val="Normal1"/>
    <w:rsid w:val="00914CA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14CAC"/>
  </w:style>
  <w:style w:type="paragraph" w:styleId="Title">
    <w:name w:val="Title"/>
    <w:basedOn w:val="Normal1"/>
    <w:next w:val="Normal1"/>
    <w:rsid w:val="00914CAC"/>
    <w:pPr>
      <w:keepNext/>
      <w:keepLines/>
      <w:spacing w:after="60"/>
    </w:pPr>
    <w:rPr>
      <w:sz w:val="52"/>
      <w:szCs w:val="52"/>
    </w:rPr>
  </w:style>
  <w:style w:type="paragraph" w:styleId="Subtitle">
    <w:name w:val="Subtitle"/>
    <w:basedOn w:val="Normal1"/>
    <w:next w:val="Normal1"/>
    <w:rsid w:val="00914CAC"/>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10F3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F38"/>
    <w:rPr>
      <w:rFonts w:ascii="Tahoma" w:hAnsi="Tahoma" w:cs="Tahoma"/>
      <w:sz w:val="16"/>
      <w:szCs w:val="16"/>
    </w:rPr>
  </w:style>
  <w:style w:type="character" w:customStyle="1" w:styleId="Heading1Char">
    <w:name w:val="Heading 1 Char"/>
    <w:basedOn w:val="DefaultParagraphFont"/>
    <w:link w:val="Heading1"/>
    <w:uiPriority w:val="9"/>
    <w:rsid w:val="00BB28B0"/>
    <w:rPr>
      <w:sz w:val="40"/>
      <w:szCs w:val="40"/>
    </w:rPr>
  </w:style>
  <w:style w:type="paragraph" w:styleId="Bibliography">
    <w:name w:val="Bibliography"/>
    <w:basedOn w:val="Normal"/>
    <w:next w:val="Normal"/>
    <w:uiPriority w:val="37"/>
    <w:unhideWhenUsed/>
    <w:rsid w:val="00BB28B0"/>
  </w:style>
  <w:style w:type="paragraph" w:styleId="Header">
    <w:name w:val="header"/>
    <w:basedOn w:val="Normal"/>
    <w:link w:val="HeaderChar"/>
    <w:uiPriority w:val="99"/>
    <w:unhideWhenUsed/>
    <w:rsid w:val="00BB28B0"/>
    <w:pPr>
      <w:tabs>
        <w:tab w:val="center" w:pos="4680"/>
        <w:tab w:val="right" w:pos="9360"/>
      </w:tabs>
      <w:spacing w:line="240" w:lineRule="auto"/>
    </w:pPr>
  </w:style>
  <w:style w:type="character" w:customStyle="1" w:styleId="HeaderChar">
    <w:name w:val="Header Char"/>
    <w:basedOn w:val="DefaultParagraphFont"/>
    <w:link w:val="Header"/>
    <w:uiPriority w:val="99"/>
    <w:rsid w:val="00BB28B0"/>
  </w:style>
  <w:style w:type="paragraph" w:styleId="Footer">
    <w:name w:val="footer"/>
    <w:basedOn w:val="Normal"/>
    <w:link w:val="FooterChar"/>
    <w:uiPriority w:val="99"/>
    <w:unhideWhenUsed/>
    <w:rsid w:val="00BB28B0"/>
    <w:pPr>
      <w:tabs>
        <w:tab w:val="center" w:pos="4680"/>
        <w:tab w:val="right" w:pos="9360"/>
      </w:tabs>
      <w:spacing w:line="240" w:lineRule="auto"/>
    </w:pPr>
  </w:style>
  <w:style w:type="character" w:customStyle="1" w:styleId="FooterChar">
    <w:name w:val="Footer Char"/>
    <w:basedOn w:val="DefaultParagraphFont"/>
    <w:link w:val="Footer"/>
    <w:uiPriority w:val="99"/>
    <w:rsid w:val="00BB28B0"/>
  </w:style>
  <w:style w:type="paragraph" w:styleId="ListParagraph">
    <w:name w:val="List Paragraph"/>
    <w:basedOn w:val="Normal"/>
    <w:uiPriority w:val="34"/>
    <w:qFormat/>
    <w:rsid w:val="00EF2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Per17</b:Tag>
    <b:SourceType>JournalArticle</b:SourceType>
    <b:Guid>{FB4B219B-7D8D-4BE2-BBF1-15F10043B300}</b:Guid>
    <b:Author>
      <b:Author>
        <b:NameList>
          <b:Person>
            <b:Last>Pereira</b:Last>
            <b:First>Maria</b:First>
          </b:Person>
          <b:Person>
            <b:Last>Birtele</b:Last>
            <b:First>Marcella</b:First>
          </b:Person>
          <b:Person>
            <b:Last>Shrigley</b:Last>
            <b:First>Shelby</b:First>
          </b:Person>
          <b:Person>
            <b:Last>Benitez</b:Last>
            <b:First>Julio</b:First>
            <b:Middle>Aguila</b:Middle>
          </b:Person>
          <b:Person>
            <b:Last>Hedlund</b:Last>
            <b:First>Eva</b:First>
          </b:Person>
          <b:Person>
            <b:Last>Parmar</b:Last>
            <b:First>Malim</b:First>
          </b:Person>
          <b:Person>
            <b:Last>Ottosson</b:Last>
            <b:First>Daniella</b:First>
            <b:Middle>Rylander</b:Middle>
          </b:Person>
        </b:NameList>
      </b:Author>
    </b:Author>
    <b:Title>Direct reprogramming of resident NG2 glia into neurons with properties of fast-spiking parvalbumin-containing interneurons.</b:Title>
    <b:Year>2017</b:Year>
    <b:JournalName>Stem cell reports</b:JournalName>
    <b:Pages>742-751</b:Pages>
    <b:Volume>9</b:Volume>
    <b:Issue>3</b:Issue>
    <b:RefOrder>1</b:RefOrder>
  </b:Source>
  <b:Source>
    <b:Tag>Sai</b:Tag>
    <b:SourceType>JournalArticle</b:SourceType>
    <b:Guid>{C9259BDE-DA8E-4A5F-9C11-B147441F157D}</b:Guid>
    <b:Author>
      <b:Author>
        <b:NameList>
          <b:Person>
            <b:Last>Nizhor</b:Last>
            <b:First>Saif</b:First>
          </b:Person>
          <b:Person>
            <b:Last>Khan</b:Last>
            <b:First>Rubayat</b:First>
          </b:Person>
          <b:Person>
            <b:Last>Neelotpol</b:Last>
            <b:First>Sharmind</b:First>
          </b:Person>
        </b:NameList>
      </b:Author>
    </b:Author>
    <b:Title>The Biology of Glial Cells and Their Complex Roles in Alzheimer’s Disease: New Opportunities in Therapy.</b:Title>
    <b:JournalName>Biomolecules</b:JournalName>
    <b:Year>2018</b:Year>
    <b:Pages>93</b:Pages>
    <b:Volume>8</b:Volume>
    <b:Issue>3</b:Issue>
    <b:RefOrder>2</b:RefOrder>
  </b:Source>
  <b:Source>
    <b:Tag>LuJ15</b:Tag>
    <b:SourceType>JournalArticle</b:SourceType>
    <b:Guid>{842CF97C-06B6-4231-BA56-DD51AC1ABCD8}</b:Guid>
    <b:Author>
      <b:Author>
        <b:NameList>
          <b:Person>
            <b:Last>Lu</b:Last>
            <b:First>Jianfeng</b:First>
          </b:Person>
          <b:Person>
            <b:Last>Bradley</b:Last>
            <b:First>Robert</b:First>
            <b:Middle>A.</b:Middle>
          </b:Person>
          <b:Person>
            <b:Last>Zhang</b:Last>
            <b:First>Su-Chun</b:First>
          </b:Person>
        </b:NameList>
      </b:Author>
    </b:Author>
    <b:Title>Turning Reactive Glia into Functional Neurons in the Brain</b:Title>
    <b:JournalName>Cell Stem Cell</b:JournalName>
    <b:Year>2015</b:Year>
    <b:Pages>133-134</b:Pages>
    <b:Volume>14</b:Volume>
    <b:Issue>2</b:Issue>
    <b:RefOrder>3</b:RefOrder>
  </b:Source>
  <b:Source>
    <b:Tag>Guo14</b:Tag>
    <b:SourceType>JournalArticle</b:SourceType>
    <b:Guid>{3332C4CA-49A8-4F21-8081-BE9374E12089}</b:Guid>
    <b:Author>
      <b:Author>
        <b:NameList>
          <b:Person>
            <b:Last>Guo</b:Last>
            <b:First>Ziyuan</b:First>
          </b:Person>
          <b:Person>
            <b:Last>Zhang</b:Last>
            <b:First>Lei</b:First>
          </b:Person>
          <b:Person>
            <b:Last>Wu</b:Last>
            <b:First>Zheng</b:First>
          </b:Person>
          <b:Person>
            <b:Last>Chen</b:Last>
            <b:First>Yuchen</b:First>
          </b:Person>
          <b:Person>
            <b:Last>Wang</b:Last>
            <b:First>Fan</b:First>
          </b:Person>
          <b:Person>
            <b:Last>Chen</b:Last>
            <b:First>Gong</b:First>
          </b:Person>
        </b:NameList>
      </b:Author>
    </b:Author>
    <b:Title>Reprogramming of Reactive Glial Cells into Functional Neurons after Brain Injury and in an Alzheimer’s Disease Model.</b:Title>
    <b:JournalName>Cell Stem Cell</b:JournalName>
    <b:Year>2014</b:Year>
    <b:Pages>188-202</b:Pages>
    <b:Volume>14</b:Volume>
    <b:Issue>2</b:Issue>
    <b:RefOrder>4</b:RefOrder>
  </b:Source>
  <b:Source>
    <b:Tag>Ber16</b:Tag>
    <b:SourceType>JournalArticle</b:SourceType>
    <b:Guid>{EC81ADC0-4DB6-4BF0-8BB3-D2EA779272E0}</b:Guid>
    <b:Author>
      <b:Author>
        <b:NameList>
          <b:Person>
            <b:Last>Bernecky</b:Last>
            <b:First>Carrie</b:First>
          </b:Person>
          <b:Person>
            <b:Last>Herzog</b:Last>
            <b:First>Franz</b:First>
          </b:Person>
          <b:Person>
            <b:Last>baumieister</b:Last>
            <b:First>Wolfgang</b:First>
          </b:Person>
          <b:Person>
            <b:Last>Plitzko</b:Last>
            <b:First>Jurgen</b:First>
            <b:Middle>M.</b:Middle>
          </b:Person>
          <b:Person>
            <b:Last>Cramer</b:Last>
            <b:First>Patrick</b:First>
          </b:Person>
        </b:NameList>
      </b:Author>
    </b:Author>
    <b:Title>Structure of transcribing mammalian RNA polymerase II.</b:Title>
    <b:JournalName>Nature</b:JournalName>
    <b:Year>2016</b:Year>
    <b:Pages>551</b:Pages>
    <b:Volume>529</b:Volume>
    <b:Issue>7587</b:Issue>
    <b:RefOrder>5</b:RefOrder>
  </b:Source>
  <b:Source>
    <b:Tag>WuB16</b:Tag>
    <b:SourceType>JournalArticle</b:SourceType>
    <b:Guid>{2A696E75-9BE4-4135-8105-FA96666A173E}</b:Guid>
    <b:Author>
      <b:Author>
        <b:NameList>
          <b:Person>
            <b:Last>Wu</b:Last>
            <b:First>Bin</b:First>
          </b:Person>
          <b:Person>
            <b:Last>Eliscovich</b:Last>
            <b:First>Carolina</b:First>
          </b:Person>
          <b:Person>
            <b:Last>Yoon</b:Last>
            <b:First>Young</b:First>
            <b:Middle>J</b:Middle>
          </b:Person>
          <b:Person>
            <b:Last>Singer</b:Last>
            <b:First>Robert</b:First>
            <b:Middle>H.</b:Middle>
          </b:Person>
        </b:NameList>
      </b:Author>
    </b:Author>
    <b:Title>Translation dynamics of single mRNAs in live cells and neurons.</b:Title>
    <b:JournalName>Science</b:JournalName>
    <b:Year>2016</b:Year>
    <b:Pages>1439-1435</b:Pages>
    <b:Volume>353</b:Volume>
    <b:Issue>6292</b:Issue>
    <b:RefOrder>6</b:RefOrder>
  </b:Source>
</b:Sources>
</file>

<file path=customXml/itemProps1.xml><?xml version="1.0" encoding="utf-8"?>
<ds:datastoreItem xmlns:ds="http://schemas.openxmlformats.org/officeDocument/2006/customXml" ds:itemID="{208B58A2-BD85-4E51-B972-DE3A2F74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Yoga Future Tech LTD</cp:lastModifiedBy>
  <cp:revision>3</cp:revision>
  <dcterms:created xsi:type="dcterms:W3CDTF">2019-06-08T06:16:00Z</dcterms:created>
  <dcterms:modified xsi:type="dcterms:W3CDTF">2019-06-08T06:19:00Z</dcterms:modified>
</cp:coreProperties>
</file>